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 w:eastAsia="Arial" w:cs="Arial"/>
          <w:b/>
          <w:i w:val="0"/>
          <w:color w:val="000000"/>
          <w:sz w:val="28"/>
        </w:rPr>
        <w:t>СПЕЦИФИКАЦИЯ № ____</w:t>
      </w:r>
    </w:p>
    <w:p>
      <w:pPr>
        <w:spacing w:after="200"/>
        <w:jc w:val="center"/>
      </w:pPr>
      <w:r>
        <w:rPr>
          <w:rFonts w:ascii="Arial" w:hAnsi="Arial" w:eastAsia="Arial" w:cs="Arial"/>
          <w:b w:val="0"/>
          <w:i w:val="0"/>
          <w:color w:val="000000"/>
          <w:sz w:val="21"/>
        </w:rPr>
        <w:t>к Договору № ____ от «___» __________ 20__ г.</w:t>
      </w:r>
    </w:p>
    <w:p>
      <w:pPr>
        <w:tabs>
          <w:tab w:pos="9638" w:val="right"/>
        </w:tabs>
        <w:spacing w:after="160"/>
      </w:pPr>
      <w:r>
        <w:rPr>
          <w:rFonts w:ascii="Arial" w:hAnsi="Arial" w:eastAsia="Arial" w:cs="Arial"/>
          <w:b w:val="0"/>
          <w:i w:val="0"/>
          <w:color w:val="000000"/>
          <w:sz w:val="21"/>
        </w:rPr>
        <w:t>г. Екатеринбург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ab/>
        <w:t>«___» __________ 20__ г.</w:t>
      </w:r>
    </w:p>
    <w:p>
      <w:r>
        <w:rPr>
          <w:rFonts w:ascii="Arial" w:hAnsi="Arial" w:eastAsia="Arial" w:cs="Arial"/>
          <w:b w:val="0"/>
          <w:i w:val="0"/>
          <w:color w:val="000000"/>
          <w:sz w:val="21"/>
        </w:rPr>
        <w:t>Индивидуальный предприниматель Колод Константин Валерьевич, именуемый «Исполнитель», и [полное наименование Заказчика], именуемый «Заказчик», согласовали состав услуги по разработке и внедрению голосового агента.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1. СОСТАВ УСЛУГИ</w:t>
      </w:r>
    </w:p>
    <w:tbl>
      <w:tblPr>
        <w:tblW w:type="dxa" w:w="9638"/>
        <w:tblLayout w:type="autofit"/>
        <w:tblLook w:firstColumn="1" w:firstRow="1" w:lastColumn="0" w:lastRow="0" w:noHBand="0" w:noVBand="1" w:val="04A0"/>
        <w:jc w:val="center"/>
        <w:tblInd w:w="0" w:type="dxa"/>
      </w:tblPr>
      <w:tblGrid>
        <w:gridCol w:w="680"/>
        <w:gridCol w:w="2608"/>
        <w:gridCol w:w="6350"/>
      </w:tblGrid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№</w:t>
            </w:r>
          </w:p>
        </w:tc>
        <w:tc>
          <w:tcPr>
            <w:tcW w:type="dxa" w:w="260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Состав услуги</w:t>
            </w:r>
          </w:p>
        </w:tc>
        <w:tc>
          <w:tcPr>
            <w:tcW w:type="dxa" w:w="63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1</w:t>
            </w:r>
          </w:p>
        </w:tc>
        <w:tc>
          <w:tcPr>
            <w:tcW w:type="dxa" w:w="260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Сценарий разговоров</w:t>
            </w:r>
          </w:p>
        </w:tc>
        <w:tc>
          <w:tcPr>
            <w:tcW w:type="dxa" w:w="63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Темы звонков, обязательные вопросы, ответы, завершение и правила передачи человеку.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2</w:t>
            </w:r>
          </w:p>
        </w:tc>
        <w:tc>
          <w:tcPr>
            <w:tcW w:type="dxa" w:w="260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База знаний</w:t>
            </w:r>
          </w:p>
        </w:tc>
        <w:tc>
          <w:tcPr>
            <w:tcW w:type="dxa" w:w="63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Утвержденные сведения о компании, услугах, ценах, расписании и ограничениях.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3</w:t>
            </w:r>
          </w:p>
        </w:tc>
        <w:tc>
          <w:tcPr>
            <w:tcW w:type="dxa" w:w="260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Телефония</w:t>
            </w:r>
          </w:p>
        </w:tc>
        <w:tc>
          <w:tcPr>
            <w:tcW w:type="dxa" w:w="63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Подключение согласованного номера или АТС, маршрутизация входящих и исходящих вызовов.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4</w:t>
            </w:r>
          </w:p>
        </w:tc>
        <w:tc>
          <w:tcPr>
            <w:tcW w:type="dxa" w:w="260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Интеграции</w:t>
            </w:r>
          </w:p>
        </w:tc>
        <w:tc>
          <w:tcPr>
            <w:tcW w:type="dxa" w:w="63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Обмен данными с [CRM / МИС / календарем / иной системой] в согласованном объеме.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5</w:t>
            </w:r>
          </w:p>
        </w:tc>
        <w:tc>
          <w:tcPr>
            <w:tcW w:type="dxa" w:w="260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Настройка речи</w:t>
            </w:r>
          </w:p>
        </w:tc>
        <w:tc>
          <w:tcPr>
            <w:tcW w:type="dxa" w:w="63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Распознавание, голос, темп, произношение терминов и правила уточнения.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6</w:t>
            </w:r>
          </w:p>
        </w:tc>
        <w:tc>
          <w:tcPr>
            <w:tcW w:type="dxa" w:w="260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Тестирование</w:t>
            </w:r>
          </w:p>
        </w:tc>
        <w:tc>
          <w:tcPr>
            <w:tcW w:type="dxa" w:w="63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Проверка согласованных сценариев, ошибок, передачи человеку и записи результата.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7</w:t>
            </w:r>
          </w:p>
        </w:tc>
        <w:tc>
          <w:tcPr>
            <w:tcW w:type="dxa" w:w="260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Запуск и передача</w:t>
            </w:r>
          </w:p>
        </w:tc>
        <w:tc>
          <w:tcPr>
            <w:tcW w:type="dxa" w:w="63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  <w:insideH w:val="single" w:sz="8" w:color="000000"/>
              <w:insideV w:val="single" w:sz="8" w:color="000000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8"/>
              </w:rPr>
              <w:t>Рабочая конфигурация, инструкция, доступы и согласованный порядок сопровождения.</w:t>
            </w:r>
          </w:p>
        </w:tc>
      </w:tr>
    </w:tbl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2. ПОРЯДОК ОКАЗАНИЯ УСЛУГИ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2.1.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Заказчик сообщает цель звонка, объем обращений и требуемый итог разговора, передает актуальные материалы, доступы и контакт ответственного сотрудника.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2.2.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Исполнитель готовит сценарии и перечень действий агента. Заказчик проверяет содержание, цены, расписание, профессиональные сведения и правила передачи человеку.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2.3.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Срок выполнения составляет [___] рабочих дней с даты получения аванса и всех необходимых данных. Задержка данных или согласований переносит срок на соответствующий период.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2.4.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До запуска Стороны проводят согласованный набор контрольных звонков. Результат принимается, если обязательные ветки, интеграции и передача человеку работают по утвержденному сценарию.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2.5.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Стоимость услуги составляет __________ руб. Аванс — 50% в течение 3 рабочих дней после подписания; остаток — 50% в течение 3 рабочих дней после приемки.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2.6.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Телефония, распознавание и синтез речи, языковые модели, CRM и иные внешние сервисы оплачиваются [Заказчиком напрямую / включены в стоимость в следующем объеме: ______].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2.7.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Гарантия на воспроизводимые несоответствия составляет 30 календарных дней. Права, обработка данных, приемка и дальнейшее сопровождение регулируются Договором.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2.8.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Передача результата работы производится только после внесения заказчиком оставшихся 50%.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ПОДПИСИ СТОРОН</w:t>
      </w:r>
    </w:p>
    <w:tbl>
      <w:tblPr>
        <w:tblW w:type="dxa" w:w="9638"/>
        <w:tblLayout w:type="autofit"/>
        <w:tblLook w:firstColumn="1" w:firstRow="1" w:lastColumn="0" w:lastRow="0" w:noHBand="0" w:noVBand="1" w:val="04A0"/>
        <w:jc w:val="center"/>
        <w:tblInd w:w="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1"/>
              </w:rPr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1"/>
              </w:rPr>
              <w:t>ИСПОЛНИТЕЛЬ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1"/>
              </w:rPr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1"/>
              </w:rPr>
              <w:t>________________ / К.В. Колод /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1"/>
              </w:rPr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1"/>
              </w:rPr>
              <w:t>ЗАКАЗЧИК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1"/>
              </w:rPr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1"/>
              </w:rPr>
              <w:t>________________ / ______________ /</w:t>
            </w:r>
          </w:p>
        </w:tc>
      </w:tr>
    </w:tbl>
    <w:sectPr w:rsidR="00FC693F" w:rsidRPr="0006063C" w:rsidSect="00034616">
      <w:pgSz w:w="11906" w:h="16838"/>
      <w:pgMar w:top="964" w:right="1134" w:bottom="96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